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9267" w14:textId="77777777" w:rsidR="00475BA7" w:rsidRPr="00642208" w:rsidRDefault="00475BA7" w:rsidP="00475BA7">
      <w:pPr>
        <w:spacing w:after="0" w:line="240" w:lineRule="auto"/>
        <w:textAlignment w:val="baseline"/>
        <w:outlineLvl w:val="0"/>
        <w:rPr>
          <w:rFonts w:ascii="Georgia" w:eastAsia="Times New Roman" w:hAnsi="Georgia" w:cs="Times New Roman"/>
          <w:kern w:val="36"/>
          <w:sz w:val="48"/>
          <w:szCs w:val="48"/>
        </w:rPr>
      </w:pPr>
      <w:r w:rsidRPr="00642208">
        <w:rPr>
          <w:rFonts w:ascii="Georgia" w:eastAsia="Times New Roman" w:hAnsi="Georgia" w:cs="Times New Roman"/>
          <w:kern w:val="36"/>
          <w:sz w:val="48"/>
          <w:szCs w:val="48"/>
        </w:rPr>
        <w:t xml:space="preserve">Are Waiver/Releases Worth the Paper on Which </w:t>
      </w:r>
      <w:proofErr w:type="gramStart"/>
      <w:r w:rsidRPr="00642208">
        <w:rPr>
          <w:rFonts w:ascii="Georgia" w:eastAsia="Times New Roman" w:hAnsi="Georgia" w:cs="Times New Roman"/>
          <w:kern w:val="36"/>
          <w:sz w:val="48"/>
          <w:szCs w:val="48"/>
        </w:rPr>
        <w:t>They’re</w:t>
      </w:r>
      <w:proofErr w:type="gramEnd"/>
      <w:r w:rsidRPr="00642208">
        <w:rPr>
          <w:rFonts w:ascii="Georgia" w:eastAsia="Times New Roman" w:hAnsi="Georgia" w:cs="Times New Roman"/>
          <w:kern w:val="36"/>
          <w:sz w:val="48"/>
          <w:szCs w:val="48"/>
        </w:rPr>
        <w:t xml:space="preserve"> Written?</w:t>
      </w:r>
    </w:p>
    <w:p w14:paraId="7E2970A0" w14:textId="189565A5" w:rsidR="00475BA7" w:rsidRPr="00642208" w:rsidRDefault="00475BA7" w:rsidP="00475BA7">
      <w:pPr>
        <w:spacing w:line="240" w:lineRule="auto"/>
        <w:textAlignment w:val="baseline"/>
        <w:rPr>
          <w:rFonts w:ascii="Helvetica" w:eastAsia="Times New Roman" w:hAnsi="Helvetica" w:cs="Helvetica"/>
          <w:sz w:val="24"/>
          <w:szCs w:val="24"/>
        </w:rPr>
      </w:pPr>
    </w:p>
    <w:p w14:paraId="16D2A9F5"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As a sports insurance specialist and risk manager, I often wondered about the answer to this question myself because of all the contradictory information on this topic. To satisfy my curiosity, I interviewed claims managers from the two leading sports insurance providers in the U.S. After all, they </w:t>
      </w:r>
      <w:proofErr w:type="gramStart"/>
      <w:r w:rsidRPr="00642208">
        <w:rPr>
          <w:rFonts w:ascii="Helvetica" w:eastAsia="Times New Roman" w:hAnsi="Helvetica" w:cs="Helvetica"/>
          <w:sz w:val="24"/>
          <w:szCs w:val="24"/>
        </w:rPr>
        <w:t>actually settle</w:t>
      </w:r>
      <w:proofErr w:type="gramEnd"/>
      <w:r w:rsidRPr="00642208">
        <w:rPr>
          <w:rFonts w:ascii="Helvetica" w:eastAsia="Times New Roman" w:hAnsi="Helvetica" w:cs="Helvetica"/>
          <w:sz w:val="24"/>
          <w:szCs w:val="24"/>
        </w:rPr>
        <w:t xml:space="preserve"> and litigate hundreds of these cases every year. I also interviewed two attorneys who specialize in this area on behalf of their sports and recreation clients.</w:t>
      </w:r>
    </w:p>
    <w:p w14:paraId="2ACECAFC"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A waiver/release agreement has two primary protective purposes:</w:t>
      </w:r>
    </w:p>
    <w:p w14:paraId="5A4DFB1D" w14:textId="77777777" w:rsidR="00475BA7" w:rsidRPr="00642208" w:rsidRDefault="00642208" w:rsidP="00475BA7">
      <w:pPr>
        <w:numPr>
          <w:ilvl w:val="0"/>
          <w:numId w:val="1"/>
        </w:numPr>
        <w:spacing w:after="0" w:line="240" w:lineRule="auto"/>
        <w:ind w:left="450"/>
        <w:textAlignment w:val="baseline"/>
        <w:rPr>
          <w:rFonts w:ascii="Helvetica" w:eastAsia="Times New Roman" w:hAnsi="Helvetica" w:cs="Helvetica"/>
          <w:sz w:val="24"/>
          <w:szCs w:val="24"/>
        </w:rPr>
      </w:pPr>
      <w:hyperlink r:id="rId5" w:tgtFrame="_blank" w:history="1">
        <w:r w:rsidR="00475BA7" w:rsidRPr="00642208">
          <w:rPr>
            <w:rFonts w:ascii="Helvetica" w:eastAsia="Times New Roman" w:hAnsi="Helvetica" w:cs="Helvetica"/>
            <w:sz w:val="24"/>
            <w:szCs w:val="24"/>
            <w:u w:val="single"/>
          </w:rPr>
          <w:t>Contractual exculpation</w:t>
        </w:r>
      </w:hyperlink>
      <w:r w:rsidR="00475BA7" w:rsidRPr="00642208">
        <w:rPr>
          <w:rFonts w:ascii="Helvetica" w:eastAsia="Times New Roman" w:hAnsi="Helvetica" w:cs="Helvetica"/>
          <w:sz w:val="24"/>
          <w:szCs w:val="24"/>
        </w:rPr>
        <w:t>, which uses contract law principles (waivers and releases are contracts) to excuse a sports organization for its simple negligence; and</w:t>
      </w:r>
    </w:p>
    <w:p w14:paraId="7CA77201" w14:textId="77777777" w:rsidR="00475BA7" w:rsidRPr="00642208" w:rsidRDefault="00475BA7" w:rsidP="00475BA7">
      <w:pPr>
        <w:numPr>
          <w:ilvl w:val="0"/>
          <w:numId w:val="1"/>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Providing real evidence of the sports organization’s warning of inherent and other risks thereby triggering the common-law assumption of risk (AOR) defense under tort law.</w:t>
      </w:r>
    </w:p>
    <w:p w14:paraId="3ECD94D6" w14:textId="77777777" w:rsidR="00475BA7" w:rsidRPr="00642208" w:rsidRDefault="00475BA7" w:rsidP="00475BA7">
      <w:pPr>
        <w:spacing w:before="225" w:after="0" w:line="240" w:lineRule="auto"/>
        <w:textAlignment w:val="baseline"/>
        <w:outlineLvl w:val="2"/>
        <w:rPr>
          <w:rFonts w:ascii="Georgia" w:eastAsia="Times New Roman" w:hAnsi="Georgia" w:cs="Helvetica"/>
          <w:sz w:val="32"/>
          <w:szCs w:val="32"/>
        </w:rPr>
      </w:pPr>
      <w:r w:rsidRPr="00642208">
        <w:rPr>
          <w:rFonts w:ascii="Georgia" w:eastAsia="Times New Roman" w:hAnsi="Georgia" w:cs="Helvetica"/>
          <w:sz w:val="32"/>
          <w:szCs w:val="32"/>
        </w:rPr>
        <w:t>Excusing Negligence</w:t>
      </w:r>
    </w:p>
    <w:p w14:paraId="6FD3B4F9"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A waiver/release is an exculpatory contract that attempts to excuse or relieve a party, for injuries to a participant that arise out of the known and unknown risks in an activity. This includes the inherent risks that arise from the sports organization’s ordinary negligence. Waiver/release documents are interpreted by the courts using contract law principles, which is why it is so important to have a well drafted waiver/release prepared for your sports organization.</w:t>
      </w:r>
    </w:p>
    <w:p w14:paraId="27D2AF7E"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A waiver/release will only by upheld if </w:t>
      </w:r>
      <w:proofErr w:type="gramStart"/>
      <w:r w:rsidRPr="00642208">
        <w:rPr>
          <w:rFonts w:ascii="Helvetica" w:eastAsia="Times New Roman" w:hAnsi="Helvetica" w:cs="Helvetica"/>
          <w:sz w:val="24"/>
          <w:szCs w:val="24"/>
        </w:rPr>
        <w:t>all of</w:t>
      </w:r>
      <w:proofErr w:type="gramEnd"/>
      <w:r w:rsidRPr="00642208">
        <w:rPr>
          <w:rFonts w:ascii="Helvetica" w:eastAsia="Times New Roman" w:hAnsi="Helvetica" w:cs="Helvetica"/>
          <w:sz w:val="24"/>
          <w:szCs w:val="24"/>
        </w:rPr>
        <w:t xml:space="preserve"> the following conditions are satisfied:</w:t>
      </w:r>
    </w:p>
    <w:p w14:paraId="58A33223" w14:textId="77777777" w:rsidR="00475BA7" w:rsidRPr="00642208" w:rsidRDefault="00475BA7" w:rsidP="00475BA7">
      <w:pPr>
        <w:numPr>
          <w:ilvl w:val="0"/>
          <w:numId w:val="2"/>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injury arises from risks stated in the waiver/release contract (here we will often see language of “known and unknown risks” and discussions of the inherent risks of an activity), or from the sports organization’s simple negligence.</w:t>
      </w:r>
    </w:p>
    <w:p w14:paraId="07C75FDB" w14:textId="77777777" w:rsidR="00475BA7" w:rsidRPr="00642208" w:rsidRDefault="00475BA7" w:rsidP="00475BA7">
      <w:pPr>
        <w:numPr>
          <w:ilvl w:val="0"/>
          <w:numId w:val="2"/>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waiver/release is properly drafted or worded according to the law in the state of the sports organization</w:t>
      </w:r>
    </w:p>
    <w:p w14:paraId="06B500B2" w14:textId="77777777" w:rsidR="00475BA7" w:rsidRPr="00642208" w:rsidRDefault="00475BA7" w:rsidP="00475BA7">
      <w:pPr>
        <w:numPr>
          <w:ilvl w:val="0"/>
          <w:numId w:val="2"/>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It does not violate any state laws or public policy.</w:t>
      </w:r>
    </w:p>
    <w:p w14:paraId="68E85F9D" w14:textId="77777777"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If all of these conditions are met, the use of a waiver/release may result in the lawsuit being dismissed on </w:t>
      </w:r>
      <w:hyperlink r:id="rId6" w:tgtFrame="_blank" w:history="1">
        <w:r w:rsidRPr="00642208">
          <w:rPr>
            <w:rFonts w:ascii="Helvetica" w:eastAsia="Times New Roman" w:hAnsi="Helvetica" w:cs="Helvetica"/>
            <w:sz w:val="24"/>
            <w:szCs w:val="24"/>
            <w:u w:val="single"/>
          </w:rPr>
          <w:t>summary judgment</w:t>
        </w:r>
      </w:hyperlink>
      <w:r w:rsidRPr="00642208">
        <w:rPr>
          <w:rFonts w:ascii="Helvetica" w:eastAsia="Times New Roman" w:hAnsi="Helvetica" w:cs="Helvetica"/>
          <w:sz w:val="24"/>
          <w:szCs w:val="24"/>
        </w:rPr>
        <w:t>. Summary judgment is important because it concludes litigation early in the process, which can drastically reduce legal defense costs.</w:t>
      </w:r>
    </w:p>
    <w:p w14:paraId="35A8F7A8"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It is important to note that even if a summary judgment dismissal is achieved, the legal defense costs will still be too high for most sports organizations and related directors, officers, employees, or staff to pay out of pocket. For this reason, a waiver/release is never a substitute for purchasing General Liability insurance.</w:t>
      </w:r>
    </w:p>
    <w:p w14:paraId="2E31B7E8" w14:textId="77777777" w:rsidR="00475BA7" w:rsidRPr="00642208" w:rsidRDefault="00475BA7" w:rsidP="00475BA7">
      <w:pPr>
        <w:spacing w:before="225" w:after="0" w:line="240" w:lineRule="auto"/>
        <w:textAlignment w:val="baseline"/>
        <w:outlineLvl w:val="2"/>
        <w:rPr>
          <w:rFonts w:ascii="Georgia" w:eastAsia="Times New Roman" w:hAnsi="Georgia" w:cs="Helvetica"/>
          <w:sz w:val="32"/>
          <w:szCs w:val="32"/>
        </w:rPr>
      </w:pPr>
      <w:r w:rsidRPr="00642208">
        <w:rPr>
          <w:rFonts w:ascii="Georgia" w:eastAsia="Times New Roman" w:hAnsi="Georgia" w:cs="Helvetica"/>
          <w:sz w:val="32"/>
          <w:szCs w:val="32"/>
        </w:rPr>
        <w:t>Excusing Negligence Under Contract Law</w:t>
      </w:r>
    </w:p>
    <w:p w14:paraId="44690AE2" w14:textId="77777777"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b/>
          <w:bCs/>
          <w:sz w:val="24"/>
          <w:szCs w:val="24"/>
          <w:bdr w:val="none" w:sz="0" w:space="0" w:color="auto" w:frame="1"/>
        </w:rPr>
        <w:lastRenderedPageBreak/>
        <w:t>When the Injured Party is an Adult</w:t>
      </w:r>
    </w:p>
    <w:p w14:paraId="0CD36482"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The laws regarding adult waiver/releases vary from state to state. As far as adult injuries are concerned, waiver/releases can be </w:t>
      </w:r>
      <w:proofErr w:type="gramStart"/>
      <w:r w:rsidRPr="00642208">
        <w:rPr>
          <w:rFonts w:ascii="Helvetica" w:eastAsia="Times New Roman" w:hAnsi="Helvetica" w:cs="Helvetica"/>
          <w:sz w:val="24"/>
          <w:szCs w:val="24"/>
        </w:rPr>
        <w:t>very effective</w:t>
      </w:r>
      <w:proofErr w:type="gramEnd"/>
      <w:r w:rsidRPr="00642208">
        <w:rPr>
          <w:rFonts w:ascii="Helvetica" w:eastAsia="Times New Roman" w:hAnsi="Helvetica" w:cs="Helvetica"/>
          <w:sz w:val="24"/>
          <w:szCs w:val="24"/>
        </w:rPr>
        <w:t xml:space="preserve"> and may result in lawsuit dismissals in most states as long as the three above-listed conditions are satisfied.</w:t>
      </w:r>
    </w:p>
    <w:p w14:paraId="24C391FD" w14:textId="77777777"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There are a </w:t>
      </w:r>
      <w:hyperlink r:id="rId7" w:tgtFrame="_blank" w:history="1">
        <w:r w:rsidRPr="00642208">
          <w:rPr>
            <w:rFonts w:ascii="Helvetica" w:eastAsia="Times New Roman" w:hAnsi="Helvetica" w:cs="Helvetica"/>
            <w:sz w:val="24"/>
            <w:szCs w:val="24"/>
            <w:u w:val="single"/>
          </w:rPr>
          <w:t>few states</w:t>
        </w:r>
      </w:hyperlink>
      <w:r w:rsidRPr="00642208">
        <w:rPr>
          <w:rFonts w:ascii="Helvetica" w:eastAsia="Times New Roman" w:hAnsi="Helvetica" w:cs="Helvetica"/>
          <w:sz w:val="24"/>
          <w:szCs w:val="24"/>
        </w:rPr>
        <w:t> where the courts are not likely to uphold a waiver/release even if those three conditions are met.</w:t>
      </w:r>
    </w:p>
    <w:p w14:paraId="7DC46AAD" w14:textId="77777777"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b/>
          <w:bCs/>
          <w:sz w:val="24"/>
          <w:szCs w:val="24"/>
          <w:bdr w:val="none" w:sz="0" w:space="0" w:color="auto" w:frame="1"/>
        </w:rPr>
        <w:t>When the Injured Party is a Minor</w:t>
      </w:r>
    </w:p>
    <w:p w14:paraId="733D71E5"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Laws regarding minor waiver/releases also vary from state to state. </w:t>
      </w:r>
      <w:proofErr w:type="gramStart"/>
      <w:r w:rsidRPr="00642208">
        <w:rPr>
          <w:rFonts w:ascii="Helvetica" w:eastAsia="Times New Roman" w:hAnsi="Helvetica" w:cs="Helvetica"/>
          <w:sz w:val="24"/>
          <w:szCs w:val="24"/>
        </w:rPr>
        <w:t>However</w:t>
      </w:r>
      <w:proofErr w:type="gramEnd"/>
      <w:r w:rsidRPr="00642208">
        <w:rPr>
          <w:rFonts w:ascii="Helvetica" w:eastAsia="Times New Roman" w:hAnsi="Helvetica" w:cs="Helvetica"/>
          <w:sz w:val="24"/>
          <w:szCs w:val="24"/>
        </w:rPr>
        <w:t xml:space="preserve"> minors are not legally competent, which means they aren’t seen as capable of entering into a binding contract such as a waiver/release. Therefore, the only way for a minor to be bound for purposes of contractually excusing negligence would be through a parent’s signature on the waiver/release. Even then, most states will not allow a parent to contractually waive their minor children’s right to sue for a sports-related injury.</w:t>
      </w:r>
    </w:p>
    <w:p w14:paraId="1747528F"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This is a developing area of the law that is undergoing constant change. The same three conditions that apply for upholding adult waiver/releases also apply to parental waiver/releases. In addition, the language in the wavier/release will be scrutinized under the same degree of strictness as indicated under adult waiver/releases on a state-by-state basis.</w:t>
      </w:r>
    </w:p>
    <w:p w14:paraId="2636EEE0" w14:textId="77777777"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A parental waiver/release may be upheld in a </w:t>
      </w:r>
      <w:hyperlink r:id="rId8" w:tgtFrame="_blank" w:history="1">
        <w:r w:rsidRPr="00642208">
          <w:rPr>
            <w:rFonts w:ascii="Helvetica" w:eastAsia="Times New Roman" w:hAnsi="Helvetica" w:cs="Helvetica"/>
            <w:sz w:val="24"/>
            <w:szCs w:val="24"/>
            <w:u w:val="single"/>
          </w:rPr>
          <w:t>minority of states</w:t>
        </w:r>
      </w:hyperlink>
      <w:r w:rsidRPr="00642208">
        <w:rPr>
          <w:rFonts w:ascii="Helvetica" w:eastAsia="Times New Roman" w:hAnsi="Helvetica" w:cs="Helvetica"/>
          <w:sz w:val="24"/>
          <w:szCs w:val="24"/>
        </w:rPr>
        <w:t>.</w:t>
      </w:r>
    </w:p>
    <w:p w14:paraId="2476C053" w14:textId="77777777" w:rsidR="00475BA7" w:rsidRPr="00642208" w:rsidRDefault="00475BA7" w:rsidP="00475BA7">
      <w:pPr>
        <w:spacing w:before="225" w:after="0" w:line="240" w:lineRule="auto"/>
        <w:textAlignment w:val="baseline"/>
        <w:outlineLvl w:val="2"/>
        <w:rPr>
          <w:rFonts w:ascii="Georgia" w:eastAsia="Times New Roman" w:hAnsi="Georgia" w:cs="Helvetica"/>
          <w:sz w:val="32"/>
          <w:szCs w:val="32"/>
        </w:rPr>
      </w:pPr>
      <w:r w:rsidRPr="00642208">
        <w:rPr>
          <w:rFonts w:ascii="Georgia" w:eastAsia="Times New Roman" w:hAnsi="Georgia" w:cs="Helvetica"/>
          <w:sz w:val="32"/>
          <w:szCs w:val="32"/>
        </w:rPr>
        <w:t>Assumption of Risk (AOR) as a Defense to Negligence</w:t>
      </w:r>
    </w:p>
    <w:p w14:paraId="7ABCE56C"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The second protective purpose of a waiver/release is to trigger the assumption of risk (AOR) defense under tort law. In other words, </w:t>
      </w:r>
      <w:proofErr w:type="gramStart"/>
      <w:r w:rsidRPr="00642208">
        <w:rPr>
          <w:rFonts w:ascii="Helvetica" w:eastAsia="Times New Roman" w:hAnsi="Helvetica" w:cs="Helvetica"/>
          <w:sz w:val="24"/>
          <w:szCs w:val="24"/>
        </w:rPr>
        <w:t>it’s</w:t>
      </w:r>
      <w:proofErr w:type="gramEnd"/>
      <w:r w:rsidRPr="00642208">
        <w:rPr>
          <w:rFonts w:ascii="Helvetica" w:eastAsia="Times New Roman" w:hAnsi="Helvetica" w:cs="Helvetica"/>
          <w:sz w:val="24"/>
          <w:szCs w:val="24"/>
        </w:rPr>
        <w:t xml:space="preserve"> to provide evidence that the sports organization gave adequate warnings of the risks so that an argument can be made that the participant assumed those risks.</w:t>
      </w:r>
    </w:p>
    <w:p w14:paraId="3BBA660F"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In many states, assumption of risk has been merged into contributory negligence as a </w:t>
      </w:r>
      <w:proofErr w:type="gramStart"/>
      <w:r w:rsidRPr="00642208">
        <w:rPr>
          <w:rFonts w:ascii="Helvetica" w:eastAsia="Times New Roman" w:hAnsi="Helvetica" w:cs="Helvetica"/>
          <w:sz w:val="24"/>
          <w:szCs w:val="24"/>
        </w:rPr>
        <w:t>defense</w:t>
      </w:r>
      <w:proofErr w:type="gramEnd"/>
      <w:r w:rsidRPr="00642208">
        <w:rPr>
          <w:rFonts w:ascii="Helvetica" w:eastAsia="Times New Roman" w:hAnsi="Helvetica" w:cs="Helvetica"/>
          <w:sz w:val="24"/>
          <w:szCs w:val="24"/>
        </w:rPr>
        <w:t xml:space="preserve"> but the concepts are similar. In order to trigger the AOR defense to a negligence lawsuit, the waiver/release should contain the proper assumption of risk language. However, you can also demonstrate assumption of risk by having evidence (usually in the form of other witnesses) of other types of warnings such as signs, brochures, verbal </w:t>
      </w:r>
      <w:proofErr w:type="gramStart"/>
      <w:r w:rsidRPr="00642208">
        <w:rPr>
          <w:rFonts w:ascii="Helvetica" w:eastAsia="Times New Roman" w:hAnsi="Helvetica" w:cs="Helvetica"/>
          <w:sz w:val="24"/>
          <w:szCs w:val="24"/>
        </w:rPr>
        <w:t>instructions</w:t>
      </w:r>
      <w:proofErr w:type="gramEnd"/>
      <w:r w:rsidRPr="00642208">
        <w:rPr>
          <w:rFonts w:ascii="Helvetica" w:eastAsia="Times New Roman" w:hAnsi="Helvetica" w:cs="Helvetica"/>
          <w:sz w:val="24"/>
          <w:szCs w:val="24"/>
        </w:rPr>
        <w:t xml:space="preserve"> and safety briefings.</w:t>
      </w:r>
    </w:p>
    <w:p w14:paraId="78EA10CE"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The waiver and release should specifically mention the types of risk that are assumed (known and unknown) and the </w:t>
      </w:r>
      <w:proofErr w:type="gramStart"/>
      <w:r w:rsidRPr="00642208">
        <w:rPr>
          <w:rFonts w:ascii="Helvetica" w:eastAsia="Times New Roman" w:hAnsi="Helvetica" w:cs="Helvetica"/>
          <w:sz w:val="24"/>
          <w:szCs w:val="24"/>
        </w:rPr>
        <w:t>worst case</w:t>
      </w:r>
      <w:proofErr w:type="gramEnd"/>
      <w:r w:rsidRPr="00642208">
        <w:rPr>
          <w:rFonts w:ascii="Helvetica" w:eastAsia="Times New Roman" w:hAnsi="Helvetica" w:cs="Helvetica"/>
          <w:sz w:val="24"/>
          <w:szCs w:val="24"/>
        </w:rPr>
        <w:t xml:space="preserve"> injury scenarios (permanent disability and death). It is also important to note that courts will often only apply the AOR defense to inherent risks of the activity. Inherent risks are those that the organization will simply not be able to control, regardless of their best efforts (ex: in baseball, being hit by a pitched ball).</w:t>
      </w:r>
    </w:p>
    <w:p w14:paraId="4693BA5A"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With minors and the AOR defense, the minor must be capable of understanding the risks and must sign the assumption of risk portion of the waiver/release. Just like with adults, you can demonstrate assumption of risk by both the language in the waiver/release and by the verbal instructions or safety briefings given. Many courts </w:t>
      </w:r>
      <w:r w:rsidRPr="00642208">
        <w:rPr>
          <w:rFonts w:ascii="Helvetica" w:eastAsia="Times New Roman" w:hAnsi="Helvetica" w:cs="Helvetica"/>
          <w:sz w:val="24"/>
          <w:szCs w:val="24"/>
        </w:rPr>
        <w:lastRenderedPageBreak/>
        <w:t>have ruled that a 7-year-old child may be capable of understanding the inherent risks involved in an activity if adequately explained. It is also helpful if the parent signs a statement that they have explained the risks to the child.</w:t>
      </w:r>
    </w:p>
    <w:p w14:paraId="2C60F0EE" w14:textId="77777777"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A successful AOR defense may or may not result in a lawsuit being dismissed on summary judgment. If not, AOR defense can come into play much later in the legal proceedings when evidence is being introduced before a trier of fact. I am told by claims adjusters that the threat of this defense is probably worth a 35% reduction in damages or claims paid out in many cases. A 35% reduction is significant on a large case. As a result, waiver/release agreements are </w:t>
      </w:r>
      <w:proofErr w:type="gramStart"/>
      <w:r w:rsidRPr="00642208">
        <w:rPr>
          <w:rFonts w:ascii="Helvetica" w:eastAsia="Times New Roman" w:hAnsi="Helvetica" w:cs="Helvetica"/>
          <w:sz w:val="24"/>
          <w:szCs w:val="24"/>
        </w:rPr>
        <w:t>definitely worth</w:t>
      </w:r>
      <w:proofErr w:type="gramEnd"/>
      <w:r w:rsidRPr="00642208">
        <w:rPr>
          <w:rFonts w:ascii="Helvetica" w:eastAsia="Times New Roman" w:hAnsi="Helvetica" w:cs="Helvetica"/>
          <w:sz w:val="24"/>
          <w:szCs w:val="24"/>
        </w:rPr>
        <w:t xml:space="preserve"> the paper they are written on, even if they don’t result in the lawsuit being dismissed.</w:t>
      </w:r>
    </w:p>
    <w:p w14:paraId="1E0792F6" w14:textId="77777777" w:rsidR="00475BA7" w:rsidRPr="00642208" w:rsidRDefault="00475BA7" w:rsidP="00475BA7">
      <w:pPr>
        <w:spacing w:before="225" w:after="0" w:line="240" w:lineRule="auto"/>
        <w:textAlignment w:val="baseline"/>
        <w:outlineLvl w:val="2"/>
        <w:rPr>
          <w:rFonts w:ascii="Georgia" w:eastAsia="Times New Roman" w:hAnsi="Georgia" w:cs="Helvetica"/>
          <w:sz w:val="32"/>
          <w:szCs w:val="32"/>
        </w:rPr>
      </w:pPr>
      <w:r w:rsidRPr="00642208">
        <w:rPr>
          <w:rFonts w:ascii="Georgia" w:eastAsia="Times New Roman" w:hAnsi="Georgia" w:cs="Helvetica"/>
          <w:sz w:val="32"/>
          <w:szCs w:val="32"/>
        </w:rPr>
        <w:t xml:space="preserve">Pitfalls to Avoid </w:t>
      </w:r>
      <w:proofErr w:type="gramStart"/>
      <w:r w:rsidRPr="00642208">
        <w:rPr>
          <w:rFonts w:ascii="Georgia" w:eastAsia="Times New Roman" w:hAnsi="Georgia" w:cs="Helvetica"/>
          <w:sz w:val="32"/>
          <w:szCs w:val="32"/>
        </w:rPr>
        <w:t>In</w:t>
      </w:r>
      <w:proofErr w:type="gramEnd"/>
      <w:r w:rsidRPr="00642208">
        <w:rPr>
          <w:rFonts w:ascii="Georgia" w:eastAsia="Times New Roman" w:hAnsi="Georgia" w:cs="Helvetica"/>
          <w:sz w:val="32"/>
          <w:szCs w:val="32"/>
        </w:rPr>
        <w:t xml:space="preserve"> Waiver/Release Language</w:t>
      </w:r>
    </w:p>
    <w:p w14:paraId="239D9932" w14:textId="0C1BA6E0" w:rsidR="00475BA7" w:rsidRPr="00642208" w:rsidRDefault="00475BA7" w:rsidP="00475BA7">
      <w:pPr>
        <w:spacing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What constitutes a well-drafted waiver/release? Quite simply, it means that virtually every phrase in every sentence was specifically written to counter a court case that found a pitfall that resulted in the waiver/release not being enforced. The following are 10 common pitfalls that must be avoided in most states:</w:t>
      </w:r>
    </w:p>
    <w:p w14:paraId="700AE4FC"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wording must not be unclear or ambiguous. It must be worded in terms easily understandable by the common man. Legalese should be avoided.</w:t>
      </w:r>
    </w:p>
    <w:p w14:paraId="6CFF7EDF"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print or type must be large enough to be easily read – at least 10-point type.</w:t>
      </w:r>
    </w:p>
    <w:p w14:paraId="20B31D6F"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Never commingle your waiver/release on the same page with another registration form. Many courts will strike a commingled waiver/release because it is not conspicuous.</w:t>
      </w:r>
    </w:p>
    <w:p w14:paraId="127CFEDF"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Group style signatures where all participants sign underneath a single document are frowned upon by the courts. Remember, these waiver/release documents are contracts and they need to be treated with the seriousness of a contract. You need to be able to demonstrate that the participants who are signing these contracts understand them and are signing them voluntarily. If parents and players are waiting to sign the form, those ahead in line may feel rushed and not fully comprehend the rights </w:t>
      </w:r>
      <w:proofErr w:type="gramStart"/>
      <w:r w:rsidRPr="00642208">
        <w:rPr>
          <w:rFonts w:ascii="Helvetica" w:eastAsia="Times New Roman" w:hAnsi="Helvetica" w:cs="Helvetica"/>
          <w:sz w:val="24"/>
          <w:szCs w:val="24"/>
        </w:rPr>
        <w:t>they’re</w:t>
      </w:r>
      <w:proofErr w:type="gramEnd"/>
      <w:r w:rsidRPr="00642208">
        <w:rPr>
          <w:rFonts w:ascii="Helvetica" w:eastAsia="Times New Roman" w:hAnsi="Helvetica" w:cs="Helvetica"/>
          <w:sz w:val="24"/>
          <w:szCs w:val="24"/>
        </w:rPr>
        <w:t xml:space="preserve"> giving up. Or this is the argument their clever attorney will later use when they want to avoid or negate the waiver/release contract and sue your organization.</w:t>
      </w:r>
    </w:p>
    <w:p w14:paraId="604A78CB"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The first sentence should state “In consideration of being allowed to participate </w:t>
      </w:r>
      <w:proofErr w:type="gramStart"/>
      <w:r w:rsidRPr="00642208">
        <w:rPr>
          <w:rFonts w:ascii="Helvetica" w:eastAsia="Times New Roman" w:hAnsi="Helvetica" w:cs="Helvetica"/>
          <w:sz w:val="24"/>
          <w:szCs w:val="24"/>
        </w:rPr>
        <w:t>. . . .</w:t>
      </w:r>
      <w:proofErr w:type="gramEnd"/>
      <w:r w:rsidRPr="00642208">
        <w:rPr>
          <w:rFonts w:ascii="Helvetica" w:eastAsia="Times New Roman" w:hAnsi="Helvetica" w:cs="Helvetica"/>
          <w:sz w:val="24"/>
          <w:szCs w:val="24"/>
        </w:rPr>
        <w:t>” A waiver/release is not a valid contract unless all parties receive consideration, which is a fancy way of saying something of value. The consideration received by the sports organization is the promise not to sue and the consideration received by the player/parent is the right to participate.</w:t>
      </w:r>
    </w:p>
    <w:p w14:paraId="2408DE09"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waiver/release should warn of the full range of possible injuries including the key words “permanent disability or death”. This is an important part of the assumption of risk (AOR) defense.</w:t>
      </w:r>
    </w:p>
    <w:p w14:paraId="033AD464"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All risks should be assumed, both known and unknown. The key word here is unknown. Some waivers get too specific and limit risks to games and practices and this may lead to the omission of important risks such as transportation and non-sports outings. This is also an important part of the assumption of risk defense.</w:t>
      </w:r>
    </w:p>
    <w:p w14:paraId="02F2C0FF"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The waiver/release should never attempt to disclaim responsibility for gross negligence or other outrageous conduct. It should disclaim responsibility for negligence.</w:t>
      </w:r>
    </w:p>
    <w:p w14:paraId="35E2A0C0"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lastRenderedPageBreak/>
        <w:t>The waiver/release should have a phrase releasing the organization from negligence to “the fullest extent permitted by law.” This magic phrase may allow a court to strike the phrases that are contrary to state law while leaving the rest of the waiver/release intact.</w:t>
      </w:r>
    </w:p>
    <w:p w14:paraId="523DB35F" w14:textId="77777777" w:rsidR="00475BA7" w:rsidRPr="00642208" w:rsidRDefault="00475BA7" w:rsidP="00475BA7">
      <w:pPr>
        <w:numPr>
          <w:ilvl w:val="0"/>
          <w:numId w:val="3"/>
        </w:numPr>
        <w:spacing w:after="0" w:line="240" w:lineRule="auto"/>
        <w:ind w:left="450"/>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A new waiver/release should be signed before each registration period, even if one is on file from a previous registration period.</w:t>
      </w:r>
    </w:p>
    <w:p w14:paraId="24171C9A" w14:textId="77777777" w:rsidR="00475BA7" w:rsidRPr="00642208" w:rsidRDefault="00475BA7" w:rsidP="00475BA7">
      <w:pPr>
        <w:spacing w:before="225" w:after="0" w:line="240" w:lineRule="auto"/>
        <w:textAlignment w:val="baseline"/>
        <w:outlineLvl w:val="2"/>
        <w:rPr>
          <w:rFonts w:ascii="Georgia" w:eastAsia="Times New Roman" w:hAnsi="Georgia" w:cs="Helvetica"/>
          <w:sz w:val="32"/>
          <w:szCs w:val="32"/>
        </w:rPr>
      </w:pPr>
      <w:r w:rsidRPr="00642208">
        <w:rPr>
          <w:rFonts w:ascii="Georgia" w:eastAsia="Times New Roman" w:hAnsi="Georgia" w:cs="Helvetica"/>
          <w:sz w:val="32"/>
          <w:szCs w:val="32"/>
        </w:rPr>
        <w:t>Custom Waiver/Release vs. Generic Template Waiver/Release</w:t>
      </w:r>
    </w:p>
    <w:p w14:paraId="160BE7A2" w14:textId="1BDDA609" w:rsidR="00475BA7" w:rsidRPr="00642208" w:rsidRDefault="00475BA7" w:rsidP="008D0A4D">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 xml:space="preserve">A court is much more likely to uphold or give weight to a custom waiver/release that has been drafted specifically for your activity and to meet the requirements or avoid the pitfalls of your state’s legislative or common law. </w:t>
      </w:r>
    </w:p>
    <w:p w14:paraId="61C1FC54" w14:textId="213765C3" w:rsidR="00475BA7" w:rsidRPr="00642208" w:rsidRDefault="00475BA7" w:rsidP="00475BA7">
      <w:pPr>
        <w:spacing w:before="225" w:after="0" w:line="240" w:lineRule="auto"/>
        <w:textAlignment w:val="baseline"/>
        <w:rPr>
          <w:rFonts w:ascii="Helvetica" w:eastAsia="Times New Roman" w:hAnsi="Helvetica" w:cs="Helvetica"/>
          <w:sz w:val="24"/>
          <w:szCs w:val="24"/>
        </w:rPr>
      </w:pPr>
      <w:r w:rsidRPr="00642208">
        <w:rPr>
          <w:rFonts w:ascii="Helvetica" w:eastAsia="Times New Roman" w:hAnsi="Helvetica" w:cs="Helvetica"/>
          <w:sz w:val="24"/>
          <w:szCs w:val="24"/>
        </w:rPr>
        <w:t>Even the best waiver/release agreement will not take the place of purchasing quality sport insurance, including Accident and General Liability.  </w:t>
      </w:r>
    </w:p>
    <w:p w14:paraId="176B05D0" w14:textId="77777777" w:rsidR="00475BA7" w:rsidRPr="00642208" w:rsidRDefault="00475BA7"/>
    <w:sectPr w:rsidR="00475BA7" w:rsidRPr="0064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C43C8"/>
    <w:multiLevelType w:val="multilevel"/>
    <w:tmpl w:val="488C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833140"/>
    <w:multiLevelType w:val="multilevel"/>
    <w:tmpl w:val="20AA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21B66"/>
    <w:multiLevelType w:val="multilevel"/>
    <w:tmpl w:val="BEF0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A7"/>
    <w:rsid w:val="00475BA7"/>
    <w:rsid w:val="00642208"/>
    <w:rsid w:val="008D0A4D"/>
    <w:rsid w:val="00B6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C3F3"/>
  <w15:chartTrackingRefBased/>
  <w15:docId w15:val="{BB255B9D-B7EB-48CA-BF24-3ABCB85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9194">
      <w:bodyDiv w:val="1"/>
      <w:marLeft w:val="0"/>
      <w:marRight w:val="0"/>
      <w:marTop w:val="0"/>
      <w:marBottom w:val="0"/>
      <w:divBdr>
        <w:top w:val="none" w:sz="0" w:space="0" w:color="auto"/>
        <w:left w:val="none" w:sz="0" w:space="0" w:color="auto"/>
        <w:bottom w:val="none" w:sz="0" w:space="0" w:color="auto"/>
        <w:right w:val="none" w:sz="0" w:space="0" w:color="auto"/>
      </w:divBdr>
      <w:divsChild>
        <w:div w:id="999121163">
          <w:marLeft w:val="0"/>
          <w:marRight w:val="0"/>
          <w:marTop w:val="0"/>
          <w:marBottom w:val="0"/>
          <w:divBdr>
            <w:top w:val="none" w:sz="0" w:space="0" w:color="auto"/>
            <w:left w:val="none" w:sz="0" w:space="0" w:color="auto"/>
            <w:bottom w:val="none" w:sz="0" w:space="0" w:color="auto"/>
            <w:right w:val="none" w:sz="0" w:space="0" w:color="auto"/>
          </w:divBdr>
          <w:divsChild>
            <w:div w:id="1826510896">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eation-law.com/2014/11/12/states-that-allow-a-parent-to-sign-away-a-minors-right-to-sue-6/" TargetMode="External"/><Relationship Id="rId3" Type="http://schemas.openxmlformats.org/officeDocument/2006/relationships/settings" Target="settings.xml"/><Relationship Id="rId7" Type="http://schemas.openxmlformats.org/officeDocument/2006/relationships/hyperlink" Target="http://recreation-law.com/2010/12/16/states-that-do-not-support-the-use-of-a-releas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wex/summary_judgment" TargetMode="External"/><Relationship Id="rId5" Type="http://schemas.openxmlformats.org/officeDocument/2006/relationships/hyperlink" Target="http://legal-dictionary.thefreedictionary.com/exculpatory+cla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6</cp:revision>
  <dcterms:created xsi:type="dcterms:W3CDTF">2020-04-14T19:16:00Z</dcterms:created>
  <dcterms:modified xsi:type="dcterms:W3CDTF">2020-04-22T19:02:00Z</dcterms:modified>
</cp:coreProperties>
</file>